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b w:val="0"/>
                <w:sz w:val="30"/>
                <w:szCs w:val="30"/>
              </w:rPr>
            </w:pPr>
            <w:r w:rsidDel="00000000" w:rsidR="00000000" w:rsidRPr="00000000">
              <w:rPr>
                <w:sz w:val="30"/>
                <w:szCs w:val="30"/>
                <w:rtl w:val="0"/>
              </w:rPr>
              <w:t xml:space="preserve">Applied Bioinformatics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color w:val="000000"/>
                <w:sz w:val="28"/>
                <w:szCs w:val="28"/>
              </w:rPr>
            </w:pPr>
            <w:bookmarkStart w:colFirst="0" w:colLast="0" w:name="_heading=h.30j0zll" w:id="1"/>
            <w:bookmarkEnd w:id="1"/>
            <w:r w:rsidDel="00000000" w:rsidR="00000000" w:rsidRPr="00000000">
              <w:rPr>
                <w:b w:val="0"/>
                <w:color w:val="000000"/>
                <w:sz w:val="28"/>
                <w:szCs w:val="28"/>
                <w:rtl w:val="0"/>
              </w:rPr>
              <w:t xml:space="preserve">Core</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2"/>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3"/>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3"/>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3"/>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3"/>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3"/>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color w:val="000000"/>
                <w:sz w:val="28"/>
                <w:szCs w:val="28"/>
              </w:rPr>
            </w:pPr>
            <w:r w:rsidDel="00000000" w:rsidR="00000000" w:rsidRPr="00000000">
              <w:rPr>
                <w:sz w:val="28"/>
                <w:szCs w:val="28"/>
                <w:rtl w:val="0"/>
              </w:rPr>
              <w:t xml:space="preserve">ITC320080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b w:val="0"/>
                <w:color w:val="000000"/>
                <w:sz w:val="28"/>
                <w:szCs w:val="28"/>
              </w:rPr>
            </w:pPr>
            <w:r w:rsidDel="00000000" w:rsidR="00000000" w:rsidRPr="00000000">
              <w:rPr>
                <w:b w:val="0"/>
                <w:color w:val="000000"/>
                <w:sz w:val="28"/>
                <w:szCs w:val="28"/>
                <w:rtl w:val="0"/>
              </w:rPr>
              <w:t xml:space="preserve">5.00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color w:val="000000"/>
                <w:sz w:val="24"/>
                <w:szCs w:val="24"/>
              </w:rPr>
            </w:pPr>
            <w:r w:rsidDel="00000000" w:rsidR="00000000" w:rsidRPr="00000000">
              <w:rPr>
                <w:b w:val="0"/>
                <w:color w:val="000000"/>
                <w:sz w:val="24"/>
                <w:szCs w:val="24"/>
                <w:rtl w:val="0"/>
              </w:rPr>
              <w:t xml:space="preserve">125</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2</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3</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color w:val="000000"/>
              </w:rPr>
            </w:pPr>
            <w:r w:rsidDel="00000000" w:rsidR="00000000" w:rsidRPr="00000000">
              <w:rPr>
                <w:sz w:val="24"/>
                <w:szCs w:val="24"/>
                <w:rtl w:val="0"/>
              </w:rPr>
              <w:t xml:space="preserve">Maysaa Ahmed Abdulkaremm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pPr>
            <w:r w:rsidDel="00000000" w:rsidR="00000000" w:rsidRPr="00000000">
              <w:rPr>
                <w:rtl w:val="0"/>
              </w:rPr>
              <w:t xml:space="preserve">maysaa.ahmed-bic@uoitc.edu.iq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rPr>
            </w:pPr>
            <w:r w:rsidDel="00000000" w:rsidR="00000000" w:rsidRPr="00000000">
              <w:rPr>
                <w:color w:val="000000"/>
                <w:sz w:val="24"/>
                <w:szCs w:val="24"/>
                <w:rtl w:val="0"/>
              </w:rPr>
              <w:t xml:space="preserve">Assistant 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sz w:val="24"/>
                <w:szCs w:val="24"/>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color w:val="000000"/>
              </w:rPr>
            </w:pPr>
            <w:r w:rsidDel="00000000" w:rsidR="00000000" w:rsidRPr="00000000">
              <w:rPr>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color w:val="000000"/>
              </w:rPr>
            </w:pPr>
            <w:r w:rsidDel="00000000" w:rsidR="00000000" w:rsidRPr="00000000">
              <w:rPr>
                <w:rtl w:val="0"/>
              </w:rPr>
              <w:t xml:space="preserve">jwan k alwan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jwanism@uiotc.edu.iq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Introduction to Bioinformatics / BID122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276" w:lineRule="auto"/>
              <w:jc w:val="both"/>
              <w:rPr>
                <w:color w:val="000000"/>
              </w:rPr>
            </w:pPr>
            <w:r w:rsidDel="00000000" w:rsidR="00000000" w:rsidRPr="00000000">
              <w:rPr>
                <w:rtl w:val="0"/>
              </w:rPr>
            </w:r>
          </w:p>
          <w:p w:rsidR="00000000" w:rsidDel="00000000" w:rsidP="00000000" w:rsidRDefault="00000000" w:rsidRPr="00000000" w14:paraId="0000008F">
            <w:pPr>
              <w:numPr>
                <w:ilvl w:val="0"/>
                <w:numId w:val="1"/>
              </w:numPr>
              <w:spacing w:after="0" w:line="276" w:lineRule="auto"/>
              <w:ind w:left="720" w:hanging="360"/>
              <w:jc w:val="both"/>
              <w:rPr>
                <w:color w:val="000000"/>
                <w:sz w:val="24"/>
                <w:szCs w:val="24"/>
              </w:rPr>
            </w:pPr>
            <w:r w:rsidDel="00000000" w:rsidR="00000000" w:rsidRPr="00000000">
              <w:rPr>
                <w:color w:val="000000"/>
                <w:sz w:val="24"/>
                <w:szCs w:val="24"/>
                <w:rtl w:val="0"/>
              </w:rPr>
              <w:t xml:space="preserve">To expose students to theoretical and analytical aspects in the field of bioinformatics.</w:t>
            </w:r>
          </w:p>
          <w:p w:rsidR="00000000" w:rsidDel="00000000" w:rsidP="00000000" w:rsidRDefault="00000000" w:rsidRPr="00000000" w14:paraId="00000090">
            <w:pPr>
              <w:numPr>
                <w:ilvl w:val="0"/>
                <w:numId w:val="1"/>
              </w:numPr>
              <w:spacing w:after="0" w:line="276" w:lineRule="auto"/>
              <w:ind w:left="720" w:hanging="360"/>
              <w:jc w:val="both"/>
              <w:rPr>
                <w:color w:val="000000"/>
                <w:sz w:val="24"/>
                <w:szCs w:val="24"/>
              </w:rPr>
            </w:pPr>
            <w:r w:rsidDel="00000000" w:rsidR="00000000" w:rsidRPr="00000000">
              <w:rPr>
                <w:color w:val="000000"/>
                <w:sz w:val="24"/>
                <w:szCs w:val="24"/>
                <w:rtl w:val="0"/>
              </w:rPr>
              <w:t xml:space="preserve">To understand the role of the bioinformatics software </w:t>
            </w:r>
            <w:r w:rsidDel="00000000" w:rsidR="00000000" w:rsidRPr="00000000">
              <w:rPr>
                <w:sz w:val="24"/>
                <w:szCs w:val="24"/>
                <w:rtl w:val="0"/>
              </w:rPr>
              <w:t xml:space="preserve">and how</w:t>
            </w:r>
            <w:r w:rsidDel="00000000" w:rsidR="00000000" w:rsidRPr="00000000">
              <w:rPr>
                <w:color w:val="000000"/>
                <w:sz w:val="24"/>
                <w:szCs w:val="24"/>
                <w:rtl w:val="0"/>
              </w:rPr>
              <w:t xml:space="preserve"> to use them. </w:t>
            </w:r>
          </w:p>
          <w:p w:rsidR="00000000" w:rsidDel="00000000" w:rsidP="00000000" w:rsidRDefault="00000000" w:rsidRPr="00000000" w14:paraId="00000091">
            <w:pPr>
              <w:numPr>
                <w:ilvl w:val="0"/>
                <w:numId w:val="1"/>
              </w:numPr>
              <w:spacing w:after="0" w:line="276" w:lineRule="auto"/>
              <w:ind w:left="720" w:hanging="360"/>
              <w:jc w:val="both"/>
              <w:rPr>
                <w:color w:val="000000"/>
                <w:sz w:val="24"/>
                <w:szCs w:val="24"/>
              </w:rPr>
            </w:pPr>
            <w:r w:rsidDel="00000000" w:rsidR="00000000" w:rsidRPr="00000000">
              <w:rPr>
                <w:color w:val="000000"/>
                <w:sz w:val="24"/>
                <w:szCs w:val="24"/>
                <w:rtl w:val="0"/>
              </w:rPr>
              <w:t xml:space="preserve">To understand Databases and Sequence alignment</w:t>
            </w:r>
          </w:p>
          <w:p w:rsidR="00000000" w:rsidDel="00000000" w:rsidP="00000000" w:rsidRDefault="00000000" w:rsidRPr="00000000" w14:paraId="00000092">
            <w:pPr>
              <w:numPr>
                <w:ilvl w:val="0"/>
                <w:numId w:val="1"/>
              </w:numPr>
              <w:spacing w:after="0" w:line="276" w:lineRule="auto"/>
              <w:ind w:left="720" w:hanging="360"/>
              <w:jc w:val="both"/>
              <w:rPr>
                <w:color w:val="000000"/>
                <w:sz w:val="24"/>
                <w:szCs w:val="24"/>
              </w:rPr>
            </w:pPr>
            <w:r w:rsidDel="00000000" w:rsidR="00000000" w:rsidRPr="00000000">
              <w:rPr>
                <w:color w:val="000000"/>
                <w:sz w:val="24"/>
                <w:szCs w:val="24"/>
                <w:rtl w:val="0"/>
              </w:rPr>
              <w:t xml:space="preserve">Grounds students in the research process, from concept utilization and design of the project to its execution and dissemination and discussion of its findings.</w:t>
            </w:r>
          </w:p>
          <w:p w:rsidR="00000000" w:rsidDel="00000000" w:rsidP="00000000" w:rsidRDefault="00000000" w:rsidRPr="00000000" w14:paraId="00000093">
            <w:pPr>
              <w:numPr>
                <w:ilvl w:val="0"/>
                <w:numId w:val="1"/>
              </w:numPr>
              <w:spacing w:line="276" w:lineRule="auto"/>
              <w:ind w:left="720" w:hanging="360"/>
              <w:jc w:val="both"/>
              <w:rPr>
                <w:color w:val="000000"/>
              </w:rPr>
            </w:pPr>
            <w:r w:rsidDel="00000000" w:rsidR="00000000" w:rsidRPr="00000000">
              <w:rPr>
                <w:color w:val="000000"/>
                <w:sz w:val="24"/>
                <w:szCs w:val="24"/>
                <w:rtl w:val="0"/>
              </w:rPr>
              <w:t xml:space="preserve">To </w:t>
            </w:r>
            <w:r w:rsidDel="00000000" w:rsidR="00000000" w:rsidRPr="00000000">
              <w:rPr>
                <w:sz w:val="24"/>
                <w:szCs w:val="24"/>
                <w:rtl w:val="0"/>
              </w:rPr>
              <w:t xml:space="preserve">assist</w:t>
            </w:r>
            <w:r w:rsidDel="00000000" w:rsidR="00000000" w:rsidRPr="00000000">
              <w:rPr>
                <w:color w:val="000000"/>
                <w:sz w:val="24"/>
                <w:szCs w:val="24"/>
                <w:rtl w:val="0"/>
              </w:rPr>
              <w:t xml:space="preserve"> students to become independent researchers and develop professional attitudes and skills.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4">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5">
            <w:pPr>
              <w:spacing w:line="276" w:lineRule="auto"/>
              <w:rPr>
                <w:b w:val="1"/>
                <w:sz w:val="24"/>
                <w:szCs w:val="24"/>
              </w:rPr>
            </w:pPr>
            <w:r w:rsidDel="00000000" w:rsidR="00000000" w:rsidRPr="00000000">
              <w:rPr>
                <w:rtl w:val="0"/>
              </w:rPr>
            </w:r>
          </w:p>
          <w:p w:rsidR="00000000" w:rsidDel="00000000" w:rsidP="00000000" w:rsidRDefault="00000000" w:rsidRPr="00000000" w14:paraId="00000096">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40" w:right="0" w:firstLine="0"/>
              <w:jc w:val="left"/>
              <w:rPr>
                <w:rFonts w:ascii="Calibri" w:cs="Calibri" w:eastAsia="Calibri" w:hAnsi="Calibri"/>
                <w:b w:val="0"/>
                <w:i w:val="0"/>
                <w:smallCaps w:val="0"/>
                <w:strike w:val="0"/>
                <w:color w:val="3f4a5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28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Learn the genome and how to align various sequences. </w:t>
            </w:r>
          </w:p>
          <w:p w:rsidR="00000000" w:rsidDel="00000000" w:rsidP="00000000" w:rsidRDefault="00000000" w:rsidRPr="00000000" w14:paraId="0000009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Capable of comprehending the four levels of protein. </w:t>
            </w:r>
          </w:p>
          <w:p w:rsidR="00000000" w:rsidDel="00000000" w:rsidP="00000000" w:rsidRDefault="00000000" w:rsidRPr="00000000" w14:paraId="0000009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Learn how to discuss the many forms of pf interactions. </w:t>
            </w:r>
          </w:p>
          <w:p w:rsidR="00000000" w:rsidDel="00000000" w:rsidP="00000000" w:rsidRDefault="00000000" w:rsidRPr="00000000" w14:paraId="0000009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8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Capable of using bioinformatics tools for structure prediction and visualization.</w:t>
            </w:r>
          </w:p>
          <w:p w:rsidR="00000000" w:rsidDel="00000000" w:rsidP="00000000" w:rsidRDefault="00000000" w:rsidRPr="00000000" w14:paraId="0000009C">
            <w:pPr>
              <w:widowControl w:val="0"/>
              <w:shd w:fill="ffffff" w:val="clear"/>
              <w:spacing w:after="0" w:line="276" w:lineRule="auto"/>
              <w:rPr>
                <w:color w:val="3f4a5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D">
            <w:pPr>
              <w:spacing w:after="0"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9E">
            <w:pPr>
              <w:bidi w:val="1"/>
              <w:spacing w:after="0"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spacing w:after="0" w:line="312" w:lineRule="auto"/>
              <w:jc w:val="both"/>
              <w:rPr>
                <w:sz w:val="24"/>
                <w:szCs w:val="24"/>
              </w:rPr>
            </w:pPr>
            <w:r w:rsidDel="00000000" w:rsidR="00000000" w:rsidRPr="00000000">
              <w:rPr>
                <w:sz w:val="24"/>
                <w:szCs w:val="24"/>
                <w:rtl w:val="0"/>
              </w:rPr>
              <w:t xml:space="preserve">Indicative content includes the following:</w:t>
            </w:r>
          </w:p>
          <w:p w:rsidR="00000000" w:rsidDel="00000000" w:rsidP="00000000" w:rsidRDefault="00000000" w:rsidRPr="00000000" w14:paraId="000000A0">
            <w:pPr>
              <w:numPr>
                <w:ilvl w:val="0"/>
                <w:numId w:val="5"/>
              </w:numPr>
              <w:spacing w:after="0" w:line="312" w:lineRule="auto"/>
              <w:ind w:left="720" w:hanging="360"/>
              <w:jc w:val="both"/>
              <w:rPr>
                <w:sz w:val="24"/>
                <w:szCs w:val="24"/>
              </w:rPr>
            </w:pPr>
            <w:r w:rsidDel="00000000" w:rsidR="00000000" w:rsidRPr="00000000">
              <w:rPr>
                <w:sz w:val="24"/>
                <w:szCs w:val="24"/>
                <w:rtl w:val="0"/>
              </w:rPr>
              <w:t xml:space="preserve">Introduction to Bioinformatics:</w:t>
            </w:r>
          </w:p>
          <w:p w:rsidR="00000000" w:rsidDel="00000000" w:rsidP="00000000" w:rsidRDefault="00000000" w:rsidRPr="00000000" w14:paraId="000000A1">
            <w:pPr>
              <w:numPr>
                <w:ilvl w:val="1"/>
                <w:numId w:val="5"/>
              </w:numPr>
              <w:spacing w:after="0" w:line="312" w:lineRule="auto"/>
              <w:ind w:left="1440" w:hanging="360"/>
              <w:jc w:val="both"/>
              <w:rPr>
                <w:sz w:val="24"/>
                <w:szCs w:val="24"/>
              </w:rPr>
            </w:pPr>
            <w:r w:rsidDel="00000000" w:rsidR="00000000" w:rsidRPr="00000000">
              <w:rPr>
                <w:sz w:val="24"/>
                <w:szCs w:val="24"/>
                <w:rtl w:val="0"/>
              </w:rPr>
              <w:t xml:space="preserve">Overview of bioinformatics and its applications in biology and medicine</w:t>
            </w:r>
          </w:p>
          <w:p w:rsidR="00000000" w:rsidDel="00000000" w:rsidP="00000000" w:rsidRDefault="00000000" w:rsidRPr="00000000" w14:paraId="000000A2">
            <w:pPr>
              <w:numPr>
                <w:ilvl w:val="1"/>
                <w:numId w:val="5"/>
              </w:numPr>
              <w:spacing w:after="0" w:line="312" w:lineRule="auto"/>
              <w:ind w:left="1440" w:hanging="360"/>
              <w:jc w:val="both"/>
              <w:rPr>
                <w:sz w:val="24"/>
                <w:szCs w:val="24"/>
              </w:rPr>
            </w:pPr>
            <w:r w:rsidDel="00000000" w:rsidR="00000000" w:rsidRPr="00000000">
              <w:rPr>
                <w:sz w:val="24"/>
                <w:szCs w:val="24"/>
                <w:rtl w:val="0"/>
              </w:rPr>
              <w:t xml:space="preserve">Introduction to biological databases and resources</w:t>
            </w:r>
          </w:p>
          <w:p w:rsidR="00000000" w:rsidDel="00000000" w:rsidP="00000000" w:rsidRDefault="00000000" w:rsidRPr="00000000" w14:paraId="000000A3">
            <w:pPr>
              <w:numPr>
                <w:ilvl w:val="1"/>
                <w:numId w:val="5"/>
              </w:numPr>
              <w:spacing w:after="0" w:line="312" w:lineRule="auto"/>
              <w:ind w:left="1440" w:hanging="360"/>
              <w:jc w:val="both"/>
              <w:rPr>
                <w:sz w:val="24"/>
                <w:szCs w:val="24"/>
              </w:rPr>
            </w:pPr>
            <w:r w:rsidDel="00000000" w:rsidR="00000000" w:rsidRPr="00000000">
              <w:rPr>
                <w:sz w:val="24"/>
                <w:szCs w:val="24"/>
                <w:rtl w:val="0"/>
              </w:rPr>
              <w:t xml:space="preserve">Basics of sequence analysis </w:t>
            </w:r>
          </w:p>
          <w:p w:rsidR="00000000" w:rsidDel="00000000" w:rsidP="00000000" w:rsidRDefault="00000000" w:rsidRPr="00000000" w14:paraId="000000A4">
            <w:pPr>
              <w:numPr>
                <w:ilvl w:val="0"/>
                <w:numId w:val="5"/>
              </w:numPr>
              <w:spacing w:after="0" w:line="312" w:lineRule="auto"/>
              <w:ind w:left="720" w:hanging="360"/>
              <w:jc w:val="both"/>
              <w:rPr>
                <w:sz w:val="24"/>
                <w:szCs w:val="24"/>
              </w:rPr>
            </w:pPr>
            <w:r w:rsidDel="00000000" w:rsidR="00000000" w:rsidRPr="00000000">
              <w:rPr>
                <w:sz w:val="24"/>
                <w:szCs w:val="24"/>
                <w:rtl w:val="0"/>
              </w:rPr>
              <w:t xml:space="preserve">Biological Databases and Tools:</w:t>
            </w:r>
          </w:p>
          <w:p w:rsidR="00000000" w:rsidDel="00000000" w:rsidP="00000000" w:rsidRDefault="00000000" w:rsidRPr="00000000" w14:paraId="000000A5">
            <w:pPr>
              <w:numPr>
                <w:ilvl w:val="1"/>
                <w:numId w:val="5"/>
              </w:numPr>
              <w:spacing w:after="0" w:line="312" w:lineRule="auto"/>
              <w:ind w:left="1440" w:hanging="360"/>
              <w:jc w:val="both"/>
              <w:rPr>
                <w:sz w:val="24"/>
                <w:szCs w:val="24"/>
              </w:rPr>
            </w:pPr>
            <w:r w:rsidDel="00000000" w:rsidR="00000000" w:rsidRPr="00000000">
              <w:rPr>
                <w:sz w:val="24"/>
                <w:szCs w:val="24"/>
                <w:rtl w:val="0"/>
              </w:rPr>
              <w:t xml:space="preserve">Sequence databases: GenBank, UniProt, RefSeq</w:t>
            </w:r>
          </w:p>
          <w:p w:rsidR="00000000" w:rsidDel="00000000" w:rsidP="00000000" w:rsidRDefault="00000000" w:rsidRPr="00000000" w14:paraId="000000A6">
            <w:pPr>
              <w:numPr>
                <w:ilvl w:val="1"/>
                <w:numId w:val="5"/>
              </w:numPr>
              <w:spacing w:after="0" w:line="312" w:lineRule="auto"/>
              <w:ind w:left="1440" w:hanging="360"/>
              <w:jc w:val="both"/>
              <w:rPr>
                <w:sz w:val="24"/>
                <w:szCs w:val="24"/>
              </w:rPr>
            </w:pPr>
            <w:r w:rsidDel="00000000" w:rsidR="00000000" w:rsidRPr="00000000">
              <w:rPr>
                <w:sz w:val="24"/>
                <w:szCs w:val="24"/>
                <w:rtl w:val="0"/>
              </w:rPr>
              <w:t xml:space="preserve">Structure databases: Protein Data Bank (PDB)</w:t>
            </w:r>
          </w:p>
          <w:p w:rsidR="00000000" w:rsidDel="00000000" w:rsidP="00000000" w:rsidRDefault="00000000" w:rsidRPr="00000000" w14:paraId="000000A7">
            <w:pPr>
              <w:numPr>
                <w:ilvl w:val="1"/>
                <w:numId w:val="5"/>
              </w:numPr>
              <w:spacing w:after="0" w:line="312" w:lineRule="auto"/>
              <w:ind w:left="1440" w:hanging="360"/>
              <w:jc w:val="both"/>
              <w:rPr>
                <w:sz w:val="24"/>
                <w:szCs w:val="24"/>
              </w:rPr>
            </w:pPr>
            <w:r w:rsidDel="00000000" w:rsidR="00000000" w:rsidRPr="00000000">
              <w:rPr>
                <w:sz w:val="24"/>
                <w:szCs w:val="24"/>
                <w:rtl w:val="0"/>
              </w:rPr>
              <w:t xml:space="preserve">Nucleotide and protein sequence analysis tools: BLAST, FASTA</w:t>
            </w:r>
          </w:p>
          <w:p w:rsidR="00000000" w:rsidDel="00000000" w:rsidP="00000000" w:rsidRDefault="00000000" w:rsidRPr="00000000" w14:paraId="000000A8">
            <w:pPr>
              <w:numPr>
                <w:ilvl w:val="1"/>
                <w:numId w:val="5"/>
              </w:numPr>
              <w:spacing w:after="0" w:line="312" w:lineRule="auto"/>
              <w:ind w:left="1440" w:hanging="360"/>
              <w:jc w:val="both"/>
              <w:rPr>
                <w:sz w:val="24"/>
                <w:szCs w:val="24"/>
              </w:rPr>
            </w:pPr>
            <w:r w:rsidDel="00000000" w:rsidR="00000000" w:rsidRPr="00000000">
              <w:rPr>
                <w:sz w:val="24"/>
                <w:szCs w:val="24"/>
                <w:rtl w:val="0"/>
              </w:rPr>
              <w:t xml:space="preserve">Multiple sequence alignment tools: ClustalW, MUSCLE</w:t>
            </w:r>
          </w:p>
          <w:p w:rsidR="00000000" w:rsidDel="00000000" w:rsidP="00000000" w:rsidRDefault="00000000" w:rsidRPr="00000000" w14:paraId="000000A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Proteins (Structures of molecules (Primary, and secondary ..etc)</w:t>
            </w:r>
          </w:p>
          <w:p w:rsidR="00000000" w:rsidDel="00000000" w:rsidP="00000000" w:rsidRDefault="00000000" w:rsidRPr="00000000" w14:paraId="000000A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Protein - protein interactions + Protein - ligands interactions</w:t>
            </w:r>
          </w:p>
          <w:p w:rsidR="00000000" w:rsidDel="00000000" w:rsidP="00000000" w:rsidRDefault="00000000" w:rsidRPr="00000000" w14:paraId="000000A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720" w:right="0" w:hanging="360"/>
              <w:jc w:val="both"/>
              <w:rPr>
                <w:rFonts w:ascii="Calibri" w:cs="Calibri" w:eastAsia="Calibri" w:hAnsi="Calibri"/>
                <w:b w:val="0"/>
                <w:i w:val="0"/>
                <w:smallCaps w:val="0"/>
                <w:strike w:val="0"/>
                <w:color w:val="333333"/>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Protein structural visualization</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C">
            <w:pPr>
              <w:spacing w:after="0" w:line="312" w:lineRule="auto"/>
              <w:jc w:val="center"/>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spacing w:after="0" w:line="312" w:lineRule="auto"/>
              <w:jc w:val="both"/>
              <w:rPr>
                <w:color w:val="333333"/>
                <w:sz w:val="24"/>
                <w:szCs w:val="24"/>
                <w:highlight w:val="white"/>
              </w:rPr>
            </w:pPr>
            <w:r w:rsidDel="00000000" w:rsidR="00000000" w:rsidRPr="00000000">
              <w:rPr>
                <w:rtl w:val="0"/>
              </w:rPr>
            </w:r>
          </w:p>
        </w:tc>
      </w:tr>
    </w:tbl>
    <w:p w:rsidR="00000000" w:rsidDel="00000000" w:rsidP="00000000" w:rsidRDefault="00000000" w:rsidRPr="00000000" w14:paraId="000000AE">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AF">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B0">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2">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spacing w:after="0" w:line="276" w:lineRule="auto"/>
              <w:rPr>
                <w:color w:val="000000"/>
              </w:rPr>
            </w:pPr>
            <w:r w:rsidDel="00000000" w:rsidR="00000000" w:rsidRPr="00000000">
              <w:rPr>
                <w:rtl w:val="0"/>
              </w:rPr>
            </w:r>
          </w:p>
          <w:p w:rsidR="00000000" w:rsidDel="00000000" w:rsidP="00000000" w:rsidRDefault="00000000" w:rsidRPr="00000000" w14:paraId="000000B4">
            <w:pPr>
              <w:numPr>
                <w:ilvl w:val="0"/>
                <w:numId w:val="6"/>
              </w:numPr>
              <w:spacing w:after="0" w:line="276" w:lineRule="auto"/>
              <w:ind w:left="720" w:hanging="360"/>
              <w:jc w:val="both"/>
              <w:rPr>
                <w:color w:val="000000"/>
                <w:sz w:val="24"/>
                <w:szCs w:val="24"/>
              </w:rPr>
            </w:pPr>
            <w:r w:rsidDel="00000000" w:rsidR="00000000" w:rsidRPr="00000000">
              <w:rPr>
                <w:color w:val="000000"/>
                <w:sz w:val="24"/>
                <w:szCs w:val="24"/>
                <w:rtl w:val="0"/>
              </w:rPr>
              <w:t xml:space="preserve">Lectures: Traditional lectures can be used to introduce theoretical concepts and provide an overview of the field. Lectures should be clear, engaging, and supplemented with visual aids such as slides, diagrams, and animations to enhance understanding.</w:t>
            </w:r>
          </w:p>
          <w:p w:rsidR="00000000" w:rsidDel="00000000" w:rsidP="00000000" w:rsidRDefault="00000000" w:rsidRPr="00000000" w14:paraId="000000B5">
            <w:pPr>
              <w:numPr>
                <w:ilvl w:val="0"/>
                <w:numId w:val="6"/>
              </w:numPr>
              <w:spacing w:after="0" w:line="276" w:lineRule="auto"/>
              <w:ind w:left="720" w:hanging="360"/>
              <w:jc w:val="both"/>
              <w:rPr>
                <w:color w:val="000000"/>
                <w:sz w:val="24"/>
                <w:szCs w:val="24"/>
              </w:rPr>
            </w:pPr>
            <w:r w:rsidDel="00000000" w:rsidR="00000000" w:rsidRPr="00000000">
              <w:rPr>
                <w:color w:val="000000"/>
                <w:sz w:val="24"/>
                <w:szCs w:val="24"/>
                <w:rtl w:val="0"/>
              </w:rPr>
              <w:t xml:space="preserve">Hands-on Exercises: Practical sessions are crucial for learning bioinformatics. Students should have access to computers and bioinformatics software/tools to perform data analysis tasks. Guided exercises and tutorials can be provided to teach specific techniques, algorithms, and software usage.</w:t>
            </w:r>
          </w:p>
          <w:p w:rsidR="00000000" w:rsidDel="00000000" w:rsidP="00000000" w:rsidRDefault="00000000" w:rsidRPr="00000000" w14:paraId="000000B6">
            <w:pPr>
              <w:numPr>
                <w:ilvl w:val="0"/>
                <w:numId w:val="6"/>
              </w:numPr>
              <w:spacing w:after="0" w:line="276" w:lineRule="auto"/>
              <w:ind w:left="720" w:hanging="360"/>
              <w:jc w:val="both"/>
              <w:rPr>
                <w:color w:val="000000"/>
                <w:sz w:val="24"/>
                <w:szCs w:val="24"/>
              </w:rPr>
            </w:pPr>
            <w:r w:rsidDel="00000000" w:rsidR="00000000" w:rsidRPr="00000000">
              <w:rPr>
                <w:color w:val="000000"/>
                <w:sz w:val="24"/>
                <w:szCs w:val="24"/>
                <w:rtl w:val="0"/>
              </w:rPr>
              <w:t xml:space="preserve">Group Discussions and Problem Solving: Encourage students to actively participate in group discussions and problem-solving activities. This can involve analyzing and interpreting bioinformatics results, discussing research papers, and brainstorming solutions to challenges in bioinformatics analysis.</w:t>
            </w:r>
          </w:p>
          <w:p w:rsidR="00000000" w:rsidDel="00000000" w:rsidP="00000000" w:rsidRDefault="00000000" w:rsidRPr="00000000" w14:paraId="000000B7">
            <w:pPr>
              <w:numPr>
                <w:ilvl w:val="0"/>
                <w:numId w:val="6"/>
              </w:numPr>
              <w:spacing w:after="0" w:line="276" w:lineRule="auto"/>
              <w:ind w:left="720" w:hanging="360"/>
              <w:jc w:val="both"/>
              <w:rPr>
                <w:color w:val="000000"/>
              </w:rPr>
            </w:pPr>
            <w:r w:rsidDel="00000000" w:rsidR="00000000" w:rsidRPr="00000000">
              <w:rPr>
                <w:color w:val="000000"/>
                <w:sz w:val="24"/>
                <w:szCs w:val="24"/>
                <w:rtl w:val="0"/>
              </w:rPr>
              <w:t xml:space="preserve">Online Resources and Tutorials: Encourage students to explore online bioinformatics resources, tutorials, and forums</w:t>
            </w:r>
            <w:r w:rsidDel="00000000" w:rsidR="00000000" w:rsidRPr="00000000">
              <w:rPr>
                <w:rtl w:val="0"/>
              </w:rPr>
            </w:r>
          </w:p>
        </w:tc>
      </w:tr>
    </w:tbl>
    <w:p w:rsidR="00000000" w:rsidDel="00000000" w:rsidP="00000000" w:rsidRDefault="00000000" w:rsidRPr="00000000" w14:paraId="000000B8">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9">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A">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0">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C1">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after="0" w:line="312" w:lineRule="auto"/>
              <w:rPr>
                <w:sz w:val="24"/>
                <w:szCs w:val="24"/>
              </w:rPr>
            </w:pPr>
            <w:r w:rsidDel="00000000" w:rsidR="00000000" w:rsidRPr="00000000">
              <w:rPr>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3">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4">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6">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7">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8">
            <w:pPr>
              <w:spacing w:after="0" w:line="312" w:lineRule="auto"/>
              <w:rPr>
                <w:sz w:val="24"/>
                <w:szCs w:val="24"/>
              </w:rPr>
            </w:pPr>
            <w:r w:rsidDel="00000000" w:rsidR="00000000" w:rsidRPr="00000000">
              <w:rPr>
                <w:sz w:val="24"/>
                <w:szCs w:val="24"/>
                <w:rtl w:val="0"/>
              </w:rPr>
              <w:t xml:space="preserve">62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9">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A">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B">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C">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D">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E">
            <w:pPr>
              <w:spacing w:after="0" w:line="312" w:lineRule="auto"/>
              <w:rPr>
                <w:sz w:val="24"/>
                <w:szCs w:val="24"/>
              </w:rPr>
            </w:pPr>
            <w:r w:rsidDel="00000000" w:rsidR="00000000" w:rsidRPr="00000000">
              <w:rPr>
                <w:sz w:val="24"/>
                <w:szCs w:val="24"/>
                <w:rtl w:val="0"/>
              </w:rPr>
              <w:t xml:space="preserve">125</w:t>
            </w:r>
          </w:p>
        </w:tc>
      </w:tr>
    </w:tbl>
    <w:p w:rsidR="00000000" w:rsidDel="00000000" w:rsidP="00000000" w:rsidRDefault="00000000" w:rsidRPr="00000000" w14:paraId="000000D1">
      <w:pPr>
        <w:spacing w:after="0" w:line="312" w:lineRule="auto"/>
        <w:rPr>
          <w:b w:val="1"/>
        </w:rPr>
      </w:pPr>
      <w:r w:rsidDel="00000000" w:rsidR="00000000" w:rsidRPr="00000000">
        <w:rPr>
          <w:rtl w:val="0"/>
        </w:rPr>
      </w:r>
    </w:p>
    <w:p w:rsidR="00000000" w:rsidDel="00000000" w:rsidP="00000000" w:rsidRDefault="00000000" w:rsidRPr="00000000" w14:paraId="000000D2">
      <w:pPr>
        <w:spacing w:after="0" w:line="312" w:lineRule="auto"/>
        <w:rPr>
          <w:b w:val="1"/>
        </w:rPr>
      </w:pPr>
      <w:r w:rsidDel="00000000" w:rsidR="00000000" w:rsidRPr="00000000">
        <w:rPr>
          <w:rtl w:val="0"/>
        </w:rPr>
      </w:r>
    </w:p>
    <w:p w:rsidR="00000000" w:rsidDel="00000000" w:rsidP="00000000" w:rsidRDefault="00000000" w:rsidRPr="00000000" w14:paraId="000000D3">
      <w:pPr>
        <w:spacing w:after="0" w:line="312" w:lineRule="auto"/>
        <w:rPr>
          <w:b w:val="1"/>
        </w:rPr>
      </w:pPr>
      <w:r w:rsidDel="00000000" w:rsidR="00000000" w:rsidRPr="00000000">
        <w:rPr>
          <w:rtl w:val="0"/>
        </w:rPr>
      </w:r>
    </w:p>
    <w:p w:rsidR="00000000" w:rsidDel="00000000" w:rsidP="00000000" w:rsidRDefault="00000000" w:rsidRPr="00000000" w14:paraId="000000D4">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5">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6">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C">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D">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1">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E2">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3">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5">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312" w:lineRule="auto"/>
              <w:jc w:val="center"/>
              <w:rPr>
                <w:color w:val="000000"/>
              </w:rPr>
            </w:pPr>
            <w:r w:rsidDel="00000000" w:rsidR="00000000" w:rsidRPr="00000000">
              <w:rPr>
                <w:color w:val="000000"/>
                <w:rtl w:val="0"/>
              </w:rPr>
              <w:t xml:space="preserve">3, 10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0" w:line="312" w:lineRule="auto"/>
              <w:rPr>
                <w:color w:val="000000"/>
              </w:rPr>
            </w:pPr>
            <w:r w:rsidDel="00000000" w:rsidR="00000000" w:rsidRPr="00000000">
              <w:rPr>
                <w:rtl w:val="0"/>
              </w:rPr>
              <w:t xml:space="preserve">LO #1 and 2.</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after="0" w:line="312" w:lineRule="auto"/>
              <w:jc w:val="center"/>
              <w:rPr>
                <w:color w:val="000000"/>
              </w:rPr>
            </w:pPr>
            <w:r w:rsidDel="00000000" w:rsidR="00000000" w:rsidRPr="00000000">
              <w:rPr>
                <w:rtl w:val="0"/>
              </w:rPr>
              <w:t xml:space="preserve">5, 11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after="0" w:line="312" w:lineRule="auto"/>
              <w:rPr>
                <w:color w:val="000000"/>
              </w:rPr>
            </w:pPr>
            <w:r w:rsidDel="00000000" w:rsidR="00000000" w:rsidRPr="00000000">
              <w:rPr>
                <w:rtl w:val="0"/>
              </w:rPr>
              <w:t xml:space="preserve">LO # 1, 2 and 3.</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0">
            <w:pPr>
              <w:spacing w:after="0" w:line="312" w:lineRule="auto"/>
              <w:rPr>
                <w:b w:val="1"/>
                <w:color w:val="000000"/>
              </w:rPr>
            </w:pPr>
            <w:r w:rsidDel="00000000" w:rsidR="00000000" w:rsidRPr="00000000">
              <w:rPr>
                <w:b w:val="1"/>
                <w:color w:val="000000"/>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0"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after="0" w:line="312" w:lineRule="auto"/>
              <w:rPr>
                <w:color w:val="000000"/>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8">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after="0" w:line="312" w:lineRule="auto"/>
              <w:rPr>
                <w:color w:val="000000"/>
              </w:rPr>
            </w:pPr>
            <w:r w:rsidDel="00000000" w:rsidR="00000000" w:rsidRPr="00000000">
              <w:rPr>
                <w:rtl w:val="0"/>
              </w:rPr>
              <w:t xml:space="preserve">LO # 1, 2 and 3.</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C">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after="0" w:line="312" w:lineRule="auto"/>
              <w:jc w:val="center"/>
              <w:rPr>
                <w:color w:val="000000"/>
              </w:rPr>
            </w:pPr>
            <w:r w:rsidDel="00000000" w:rsidR="00000000" w:rsidRPr="00000000">
              <w:rPr>
                <w:color w:val="000000"/>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E">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after="0" w:line="312" w:lineRule="auto"/>
              <w:rPr>
                <w:color w:val="000000"/>
              </w:rPr>
            </w:pPr>
            <w:r w:rsidDel="00000000" w:rsidR="00000000" w:rsidRPr="00000000">
              <w:rPr>
                <w:rtl w:val="0"/>
              </w:rPr>
              <w:t xml:space="preserve">LO # 1, 2 and 3</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2">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5">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7">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A">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B">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after="0" w:line="312" w:lineRule="auto"/>
              <w:rPr>
                <w:color w:val="000000"/>
              </w:rPr>
            </w:pPr>
            <w:r w:rsidDel="00000000" w:rsidR="00000000" w:rsidRPr="00000000">
              <w:rPr>
                <w:rtl w:val="0"/>
              </w:rPr>
            </w:r>
          </w:p>
        </w:tc>
      </w:tr>
    </w:tbl>
    <w:p w:rsidR="00000000" w:rsidDel="00000000" w:rsidP="00000000" w:rsidRDefault="00000000" w:rsidRPr="00000000" w14:paraId="0000010D">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E">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F">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3"/>
        <w:gridCol w:w="9107"/>
        <w:tblGridChange w:id="0">
          <w:tblGrid>
            <w:gridCol w:w="1393"/>
            <w:gridCol w:w="9107"/>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10">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11">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after="0" w:line="360" w:lineRule="auto"/>
              <w:ind w:left="-18" w:hanging="720"/>
              <w:rPr>
                <w:b w:val="1"/>
                <w:color w:val="000000"/>
              </w:rPr>
            </w:pPr>
            <w:r w:rsidDel="00000000" w:rsidR="00000000" w:rsidRPr="00000000">
              <w:rPr>
                <w:b w:val="1"/>
                <w:color w:val="000000"/>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4">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after="0" w:line="360" w:lineRule="auto"/>
              <w:ind w:left="-18" w:firstLine="18"/>
              <w:jc w:val="center"/>
              <w:rPr>
                <w:b w:val="1"/>
                <w:color w:val="000000"/>
              </w:rPr>
            </w:pPr>
            <w:r w:rsidDel="00000000" w:rsidR="00000000" w:rsidRPr="00000000">
              <w:rPr>
                <w:b w:val="1"/>
                <w:color w:val="000000"/>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after="0" w:line="312" w:lineRule="auto"/>
              <w:jc w:val="both"/>
              <w:rPr>
                <w:color w:val="333333"/>
                <w:sz w:val="24"/>
                <w:szCs w:val="24"/>
                <w:highlight w:val="white"/>
              </w:rPr>
            </w:pPr>
            <w:r w:rsidDel="00000000" w:rsidR="00000000" w:rsidRPr="00000000">
              <w:rPr>
                <w:color w:val="333333"/>
                <w:sz w:val="24"/>
                <w:szCs w:val="24"/>
                <w:highlight w:val="white"/>
                <w:rtl w:val="0"/>
              </w:rPr>
              <w:t xml:space="preserve">Introduction to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after="0" w:line="360" w:lineRule="auto"/>
              <w:ind w:left="-18" w:firstLine="18"/>
              <w:jc w:val="center"/>
              <w:rPr>
                <w:b w:val="1"/>
                <w:color w:val="000000"/>
              </w:rPr>
            </w:pPr>
            <w:r w:rsidDel="00000000" w:rsidR="00000000" w:rsidRPr="00000000">
              <w:rPr>
                <w:b w:val="1"/>
                <w:color w:val="000000"/>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240" w:lineRule="auto"/>
              <w:jc w:val="both"/>
              <w:rPr>
                <w:sz w:val="24"/>
                <w:szCs w:val="24"/>
              </w:rPr>
            </w:pPr>
            <w:r w:rsidDel="00000000" w:rsidR="00000000" w:rsidRPr="00000000">
              <w:rPr>
                <w:color w:val="333333"/>
                <w:sz w:val="24"/>
                <w:szCs w:val="24"/>
                <w:highlight w:val="white"/>
                <w:rtl w:val="0"/>
              </w:rPr>
              <w:t xml:space="preserve">Biological Databases and Tools</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360" w:lineRule="auto"/>
              <w:ind w:left="-18" w:firstLine="18"/>
              <w:jc w:val="center"/>
              <w:rPr>
                <w:b w:val="1"/>
                <w:color w:val="000000"/>
              </w:rPr>
            </w:pPr>
            <w:r w:rsidDel="00000000" w:rsidR="00000000" w:rsidRPr="00000000">
              <w:rPr>
                <w:b w:val="1"/>
                <w:color w:val="000000"/>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240" w:lineRule="auto"/>
              <w:jc w:val="both"/>
              <w:rPr>
                <w:sz w:val="24"/>
                <w:szCs w:val="24"/>
              </w:rPr>
            </w:pPr>
            <w:r w:rsidDel="00000000" w:rsidR="00000000" w:rsidRPr="00000000">
              <w:rPr>
                <w:sz w:val="24"/>
                <w:szCs w:val="24"/>
                <w:rtl w:val="0"/>
              </w:rPr>
              <w:t xml:space="preserve">Sequence Alignment tools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360" w:lineRule="auto"/>
              <w:ind w:left="-18" w:firstLine="18"/>
              <w:jc w:val="center"/>
              <w:rPr>
                <w:b w:val="1"/>
                <w:color w:val="000000"/>
              </w:rPr>
            </w:pPr>
            <w:r w:rsidDel="00000000" w:rsidR="00000000" w:rsidRPr="00000000">
              <w:rPr>
                <w:b w:val="1"/>
                <w:color w:val="000000"/>
                <w:rtl w:val="0"/>
              </w:rPr>
              <w:t xml:space="preserve">Week 4-5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after="0" w:line="240" w:lineRule="auto"/>
              <w:jc w:val="both"/>
              <w:rPr>
                <w:sz w:val="24"/>
                <w:szCs w:val="24"/>
              </w:rPr>
            </w:pPr>
            <w:r w:rsidDel="00000000" w:rsidR="00000000" w:rsidRPr="00000000">
              <w:rPr>
                <w:sz w:val="24"/>
                <w:szCs w:val="24"/>
                <w:rtl w:val="0"/>
              </w:rPr>
              <w:t xml:space="preserve">Construction of Phylogenetic tree &amp; tools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after="0" w:line="360" w:lineRule="auto"/>
              <w:ind w:left="-18" w:firstLine="18"/>
              <w:jc w:val="center"/>
              <w:rPr>
                <w:b w:val="1"/>
                <w:color w:val="000000"/>
              </w:rPr>
            </w:pPr>
            <w:r w:rsidDel="00000000" w:rsidR="00000000" w:rsidRPr="00000000">
              <w:rPr>
                <w:b w:val="1"/>
                <w:color w:val="000000"/>
                <w:rtl w:val="0"/>
              </w:rPr>
              <w:t xml:space="preserve">Week 6-7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360" w:lineRule="auto"/>
              <w:rPr>
                <w:sz w:val="24"/>
                <w:szCs w:val="24"/>
              </w:rPr>
            </w:pPr>
            <w:r w:rsidDel="00000000" w:rsidR="00000000" w:rsidRPr="00000000">
              <w:rPr>
                <w:sz w:val="24"/>
                <w:szCs w:val="24"/>
                <w:rtl w:val="0"/>
              </w:rPr>
              <w:t xml:space="preserve">Proteins (Structures of molecules (Primary, and secondary ..etc)</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after="0" w:line="360" w:lineRule="auto"/>
              <w:ind w:left="-18" w:firstLine="18"/>
              <w:jc w:val="center"/>
              <w:rPr>
                <w:b w:val="1"/>
                <w:color w:val="000000"/>
              </w:rPr>
            </w:pPr>
            <w:r w:rsidDel="00000000" w:rsidR="00000000" w:rsidRPr="00000000">
              <w:rPr>
                <w:b w:val="1"/>
                <w:color w:val="000000"/>
                <w:rtl w:val="0"/>
              </w:rPr>
              <w:t xml:space="preserve">Week 8-9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Prediction of protein secondary structure from amino acid sequences &amp; tools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after="0" w:line="360" w:lineRule="auto"/>
              <w:ind w:left="-18" w:firstLine="18"/>
              <w:jc w:val="center"/>
              <w:rPr>
                <w:b w:val="1"/>
                <w:color w:val="000000"/>
              </w:rPr>
            </w:pPr>
            <w:r w:rsidDel="00000000" w:rsidR="00000000" w:rsidRPr="00000000">
              <w:rPr>
                <w:b w:val="1"/>
                <w:color w:val="000000"/>
                <w:rtl w:val="0"/>
              </w:rPr>
              <w:t xml:space="preserve">Week 10-11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0" w:line="360" w:lineRule="auto"/>
              <w:rPr>
                <w:sz w:val="24"/>
                <w:szCs w:val="24"/>
              </w:rPr>
            </w:pPr>
            <w:r w:rsidDel="00000000" w:rsidR="00000000" w:rsidRPr="00000000">
              <w:rPr>
                <w:sz w:val="24"/>
                <w:szCs w:val="24"/>
                <w:rtl w:val="0"/>
              </w:rPr>
              <w:t xml:space="preserve">Protein - protein interactions + Protein - ligands interactions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360" w:lineRule="auto"/>
              <w:ind w:left="-18" w:firstLine="18"/>
              <w:jc w:val="center"/>
              <w:rPr>
                <w:b w:val="1"/>
                <w:color w:val="000000"/>
              </w:rPr>
            </w:pPr>
            <w:r w:rsidDel="00000000" w:rsidR="00000000" w:rsidRPr="00000000">
              <w:rPr>
                <w:b w:val="1"/>
                <w:color w:val="000000"/>
                <w:rtl w:val="0"/>
              </w:rPr>
              <w:t xml:space="preserve">Week 12-15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Protein structural visualization</w:t>
            </w:r>
          </w:p>
        </w:tc>
      </w:tr>
    </w:tbl>
    <w:p w:rsidR="00000000" w:rsidDel="00000000" w:rsidP="00000000" w:rsidRDefault="00000000" w:rsidRPr="00000000" w14:paraId="00000125">
      <w:pPr>
        <w:tabs>
          <w:tab w:val="center" w:leader="none" w:pos="3870"/>
        </w:tabs>
        <w:spacing w:after="0" w:line="360"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3"/>
        <w:gridCol w:w="9107"/>
        <w:tblGridChange w:id="0">
          <w:tblGrid>
            <w:gridCol w:w="1393"/>
            <w:gridCol w:w="9107"/>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7">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28">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للعملي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after="0"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2B">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360" w:lineRule="auto"/>
              <w:ind w:left="-18" w:firstLine="0"/>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spacing w:after="0" w:line="360" w:lineRule="auto"/>
              <w:rPr>
                <w:sz w:val="24"/>
                <w:szCs w:val="24"/>
              </w:rPr>
            </w:pPr>
            <w:r w:rsidDel="00000000" w:rsidR="00000000" w:rsidRPr="00000000">
              <w:rPr>
                <w:sz w:val="24"/>
                <w:szCs w:val="24"/>
                <w:rtl w:val="0"/>
              </w:rPr>
              <w:t xml:space="preserve">Clastal W software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360" w:lineRule="auto"/>
              <w:ind w:left="-18" w:firstLine="0"/>
              <w:jc w:val="center"/>
              <w:rPr>
                <w:b w:val="1"/>
              </w:rPr>
            </w:pPr>
            <w:r w:rsidDel="00000000" w:rsidR="00000000" w:rsidRPr="00000000">
              <w:rPr>
                <w:b w:val="1"/>
                <w:rtl w:val="0"/>
              </w:rPr>
              <w:t xml:space="preserve">Week 3-4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F">
            <w:pPr>
              <w:spacing w:after="0" w:line="360" w:lineRule="auto"/>
              <w:rPr>
                <w:sz w:val="24"/>
                <w:szCs w:val="24"/>
              </w:rPr>
            </w:pPr>
            <w:r w:rsidDel="00000000" w:rsidR="00000000" w:rsidRPr="00000000">
              <w:rPr>
                <w:sz w:val="24"/>
                <w:szCs w:val="24"/>
                <w:rtl w:val="0"/>
              </w:rPr>
              <w:t xml:space="preserve">Pyre 2 web server</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after="0" w:line="360" w:lineRule="auto"/>
              <w:ind w:left="-18" w:firstLine="0"/>
              <w:jc w:val="center"/>
              <w:rPr>
                <w:b w:val="1"/>
              </w:rPr>
            </w:pPr>
            <w:r w:rsidDel="00000000" w:rsidR="00000000" w:rsidRPr="00000000">
              <w:rPr>
                <w:b w:val="1"/>
                <w:rtl w:val="0"/>
              </w:rPr>
              <w:t xml:space="preserve">Week 5-6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spacing w:after="0" w:line="360" w:lineRule="auto"/>
              <w:rPr>
                <w:sz w:val="24"/>
                <w:szCs w:val="24"/>
              </w:rPr>
            </w:pPr>
            <w:r w:rsidDel="00000000" w:rsidR="00000000" w:rsidRPr="00000000">
              <w:rPr>
                <w:sz w:val="24"/>
                <w:szCs w:val="24"/>
                <w:rtl w:val="0"/>
              </w:rPr>
              <w:t xml:space="preserve">PyMOL Molecular Graphics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2">
            <w:pPr>
              <w:spacing w:after="0" w:line="360" w:lineRule="auto"/>
              <w:ind w:left="-18" w:firstLine="0"/>
              <w:jc w:val="center"/>
              <w:rPr>
                <w:b w:val="1"/>
              </w:rPr>
            </w:pPr>
            <w:r w:rsidDel="00000000" w:rsidR="00000000" w:rsidRPr="00000000">
              <w:rPr>
                <w:b w:val="1"/>
                <w:rtl w:val="0"/>
              </w:rPr>
              <w:t xml:space="preserve">Week 7-8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3">
            <w:pPr>
              <w:spacing w:after="0" w:line="360" w:lineRule="auto"/>
              <w:rPr>
                <w:sz w:val="24"/>
                <w:szCs w:val="24"/>
              </w:rPr>
            </w:pPr>
            <w:r w:rsidDel="00000000" w:rsidR="00000000" w:rsidRPr="00000000">
              <w:rPr>
                <w:sz w:val="24"/>
                <w:szCs w:val="24"/>
                <w:rtl w:val="0"/>
              </w:rPr>
              <w:t xml:space="preserve">Swiss pdb viewer (SPDV)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4">
            <w:pPr>
              <w:spacing w:after="0" w:line="360" w:lineRule="auto"/>
              <w:ind w:left="-18" w:firstLine="0"/>
              <w:jc w:val="center"/>
              <w:rPr>
                <w:b w:val="1"/>
              </w:rPr>
            </w:pPr>
            <w:r w:rsidDel="00000000" w:rsidR="00000000" w:rsidRPr="00000000">
              <w:rPr>
                <w:b w:val="1"/>
                <w:rtl w:val="0"/>
              </w:rPr>
              <w:t xml:space="preserve">Week 9-11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spacing w:after="0" w:line="360" w:lineRule="auto"/>
              <w:rPr>
                <w:sz w:val="24"/>
                <w:szCs w:val="24"/>
              </w:rPr>
            </w:pPr>
            <w:r w:rsidDel="00000000" w:rsidR="00000000" w:rsidRPr="00000000">
              <w:rPr>
                <w:sz w:val="24"/>
                <w:szCs w:val="24"/>
                <w:rtl w:val="0"/>
              </w:rPr>
              <w:t xml:space="preserve">UCSF chimera software &amp; Avogadro (molecular editor and visualizer) software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after="0" w:line="360" w:lineRule="auto"/>
              <w:ind w:left="-18" w:firstLine="0"/>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7">
            <w:pPr>
              <w:spacing w:after="0" w:line="360" w:lineRule="auto"/>
              <w:rPr>
                <w:sz w:val="24"/>
                <w:szCs w:val="24"/>
              </w:rPr>
            </w:pPr>
            <w:r w:rsidDel="00000000" w:rsidR="00000000" w:rsidRPr="00000000">
              <w:rPr>
                <w:sz w:val="24"/>
                <w:szCs w:val="24"/>
                <w:rtl w:val="0"/>
              </w:rPr>
              <w:t xml:space="preserve">LigPlot</w:t>
            </w:r>
            <w:r w:rsidDel="00000000" w:rsidR="00000000" w:rsidRPr="00000000">
              <w:rPr>
                <w:sz w:val="24"/>
                <w:szCs w:val="24"/>
                <w:vertAlign w:val="superscript"/>
                <w:rtl w:val="0"/>
              </w:rPr>
              <w:t xml:space="preserve">+</w:t>
            </w:r>
            <w:r w:rsidDel="00000000" w:rsidR="00000000" w:rsidRPr="00000000">
              <w:rPr>
                <w:sz w:val="24"/>
                <w:szCs w:val="24"/>
                <w:rtl w:val="0"/>
              </w:rPr>
              <w:t xml:space="preserve"> software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8">
            <w:pPr>
              <w:spacing w:after="0" w:line="360" w:lineRule="auto"/>
              <w:ind w:left="-18" w:firstLine="0"/>
              <w:jc w:val="center"/>
              <w:rPr>
                <w:b w:val="1"/>
              </w:rPr>
            </w:pPr>
            <w:r w:rsidDel="00000000" w:rsidR="00000000" w:rsidRPr="00000000">
              <w:rPr>
                <w:b w:val="1"/>
                <w:rtl w:val="0"/>
              </w:rPr>
              <w:t xml:space="preserve">Week 13-15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spacing w:after="0" w:line="360" w:lineRule="auto"/>
              <w:rPr>
                <w:sz w:val="24"/>
                <w:szCs w:val="24"/>
              </w:rPr>
            </w:pPr>
            <w:r w:rsidDel="00000000" w:rsidR="00000000" w:rsidRPr="00000000">
              <w:rPr>
                <w:sz w:val="24"/>
                <w:szCs w:val="24"/>
                <w:rtl w:val="0"/>
              </w:rPr>
              <w:t xml:space="preserve">Discovery studio visualizer software</w:t>
            </w:r>
          </w:p>
        </w:tc>
      </w:tr>
    </w:tbl>
    <w:p w:rsidR="00000000" w:rsidDel="00000000" w:rsidP="00000000" w:rsidRDefault="00000000" w:rsidRPr="00000000" w14:paraId="0000013A">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B">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3C">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F">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0">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2">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3">
            <w:pPr>
              <w:spacing w:after="0" w:line="312" w:lineRule="auto"/>
              <w:ind w:left="185" w:firstLine="0"/>
              <w:rPr/>
            </w:pPr>
            <w:r w:rsidDel="00000000" w:rsidR="00000000" w:rsidRPr="00000000">
              <w:rPr>
                <w:rtl w:val="0"/>
              </w:rPr>
              <w:t xml:space="preserve">Edwards, D., Stajich, J., &amp; Hansen, D. (Eds.). (2009). </w:t>
            </w:r>
            <w:r w:rsidDel="00000000" w:rsidR="00000000" w:rsidRPr="00000000">
              <w:rPr>
                <w:i w:val="1"/>
                <w:rtl w:val="0"/>
              </w:rPr>
              <w:t xml:space="preserve">Bioinformatics: tools and applications</w:t>
            </w:r>
            <w:r w:rsidDel="00000000" w:rsidR="00000000" w:rsidRPr="00000000">
              <w:rPr>
                <w:rtl w:val="0"/>
              </w:rPr>
              <w:t xml:space="preserve">. springer science &amp; business media.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5">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46">
            <w:pPr>
              <w:spacing w:after="0" w:line="312" w:lineRule="auto"/>
              <w:ind w:left="185" w:firstLine="0"/>
              <w:jc w:val="both"/>
              <w:rPr>
                <w:color w:val="222222"/>
                <w:sz w:val="20"/>
                <w:szCs w:val="20"/>
                <w:highlight w:val="white"/>
              </w:rPr>
            </w:pPr>
            <w:r w:rsidDel="00000000" w:rsidR="00000000" w:rsidRPr="00000000">
              <w:rPr>
                <w:color w:val="222222"/>
                <w:sz w:val="20"/>
                <w:szCs w:val="20"/>
                <w:highlight w:val="white"/>
                <w:rtl w:val="0"/>
              </w:rPr>
              <w:t xml:space="preserve">Baxevanis, A. D., Bader, G. D., &amp; Wishart, D. S. (Eds.). (2020). </w:t>
            </w:r>
            <w:r w:rsidDel="00000000" w:rsidR="00000000" w:rsidRPr="00000000">
              <w:rPr>
                <w:i w:val="1"/>
                <w:color w:val="222222"/>
                <w:sz w:val="20"/>
                <w:szCs w:val="20"/>
                <w:rtl w:val="0"/>
              </w:rPr>
              <w:t xml:space="preserve">Bioinformatics</w:t>
            </w:r>
            <w:r w:rsidDel="00000000" w:rsidR="00000000" w:rsidRPr="00000000">
              <w:rPr>
                <w:color w:val="222222"/>
                <w:sz w:val="20"/>
                <w:szCs w:val="20"/>
                <w:highlight w:val="white"/>
                <w:rtl w:val="0"/>
              </w:rPr>
              <w:t xml:space="preserve">. John Wiley &amp; Sons.</w:t>
            </w:r>
          </w:p>
          <w:p w:rsidR="00000000" w:rsidDel="00000000" w:rsidP="00000000" w:rsidRDefault="00000000" w:rsidRPr="00000000" w14:paraId="00000147">
            <w:pPr>
              <w:spacing w:after="0" w:line="312" w:lineRule="auto"/>
              <w:ind w:left="185" w:firstLine="0"/>
              <w:jc w:val="both"/>
              <w:rPr/>
            </w:pPr>
            <w:r w:rsidDel="00000000" w:rsidR="00000000" w:rsidRPr="00000000">
              <w:rPr>
                <w:color w:val="222222"/>
                <w:sz w:val="20"/>
                <w:szCs w:val="20"/>
                <w:highlight w:val="white"/>
                <w:rtl w:val="0"/>
              </w:rPr>
              <w:t xml:space="preserve">Behzadi, P., &amp; Bernabò, N. (Eds.). (2020). </w:t>
            </w:r>
            <w:r w:rsidDel="00000000" w:rsidR="00000000" w:rsidRPr="00000000">
              <w:rPr>
                <w:i w:val="1"/>
                <w:color w:val="222222"/>
                <w:sz w:val="20"/>
                <w:szCs w:val="20"/>
                <w:rtl w:val="0"/>
              </w:rPr>
              <w:t xml:space="preserve">Computational Biology and Chemistry</w:t>
            </w:r>
            <w:r w:rsidDel="00000000" w:rsidR="00000000" w:rsidRPr="00000000">
              <w:rPr>
                <w:color w:val="222222"/>
                <w:sz w:val="20"/>
                <w:szCs w:val="20"/>
                <w:highlight w:val="white"/>
                <w:rtl w:val="0"/>
              </w:rPr>
              <w:t xml:space="preserve">. BoD–Books on Demand.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spacing w:after="0" w:line="312"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9">
            <w:pPr>
              <w:spacing w:after="0"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spacing w:after="0" w:line="312" w:lineRule="auto"/>
              <w:ind w:left="180" w:firstLine="0"/>
              <w:rPr/>
            </w:pPr>
            <w:r w:rsidDel="00000000" w:rsidR="00000000" w:rsidRPr="00000000">
              <w:rPr>
                <w:rtl w:val="0"/>
              </w:rPr>
              <w:t xml:space="preserve">https://www.coursera.org/browse/physical-science-and-engineering/electrical-engineering</w:t>
            </w:r>
          </w:p>
        </w:tc>
      </w:tr>
    </w:tbl>
    <w:p w:rsidR="00000000" w:rsidDel="00000000" w:rsidP="00000000" w:rsidRDefault="00000000" w:rsidRPr="00000000" w14:paraId="0000014C">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4D">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4E">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53">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54">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55">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56">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57">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8">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59">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A">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B">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C">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D">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F">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0">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1">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2">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4">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5">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6">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7">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9">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A">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B">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C">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E">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F">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0">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1">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2">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73">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4">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5">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6">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7">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9">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A">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B">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C">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D">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E">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F">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80">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81">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2">
            <w:pPr>
              <w:spacing w:after="0" w:lineRule="auto"/>
              <w:rPr>
                <w:color w:val="000000"/>
                <w:sz w:val="16"/>
                <w:szCs w:val="16"/>
              </w:rPr>
            </w:pPr>
            <w:r w:rsidDel="00000000" w:rsidR="00000000" w:rsidRPr="00000000">
              <w:rPr>
                <w:rtl w:val="0"/>
              </w:rPr>
            </w:r>
          </w:p>
          <w:p w:rsidR="00000000" w:rsidDel="00000000" w:rsidP="00000000" w:rsidRDefault="00000000" w:rsidRPr="00000000" w14:paraId="00000183">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88">
      <w:pPr>
        <w:bidi w:val="1"/>
        <w:spacing w:after="200" w:line="276" w:lineRule="auto"/>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Times New Roman"/>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9">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character" w:styleId="apple-converted-space" w:customStyle="1">
    <w:name w:val="apple-converted-space"/>
    <w:basedOn w:val="DefaultParagraphFont"/>
    <w:rsid w:val="00980358"/>
  </w:style>
  <w:style w:type="character" w:styleId="UnresolvedMention" w:customStyle="1">
    <w:name w:val="Unresolved Mention"/>
    <w:basedOn w:val="DefaultParagraphFont"/>
    <w:uiPriority w:val="99"/>
    <w:semiHidden w:val="1"/>
    <w:unhideWhenUsed w:val="1"/>
    <w:rsid w:val="00932CA6"/>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sZy6xFGjQ3FJlHUwKazbQ1StQ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XNrT2w5aDhWZUNKRjlJUVVDQ3Z0Snd3QzBUZXYyZT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